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p>
    <w:p>
      <w:pPr>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cs="宋体"/>
          <w:b/>
          <w:i w:val="0"/>
          <w:iCs w:val="0"/>
          <w:color w:val="000000"/>
          <w:kern w:val="0"/>
          <w:sz w:val="48"/>
          <w:szCs w:val="48"/>
          <w:u w:val="none"/>
          <w:lang w:val="en-US" w:eastAsia="zh-CN" w:bidi="ar"/>
        </w:rPr>
      </w:pPr>
      <w:r>
        <w:rPr>
          <w:rFonts w:hint="eastAsia" w:ascii="宋体" w:hAnsi="宋体" w:eastAsia="宋体" w:cs="宋体"/>
          <w:b/>
          <w:i w:val="0"/>
          <w:iCs w:val="0"/>
          <w:color w:val="000000"/>
          <w:kern w:val="0"/>
          <w:sz w:val="48"/>
          <w:szCs w:val="48"/>
          <w:u w:val="none"/>
          <w:lang w:val="en-US" w:eastAsia="zh-CN" w:bidi="ar"/>
        </w:rPr>
        <w:t>控制台及信号传输系统</w:t>
      </w:r>
      <w:r>
        <w:rPr>
          <w:rFonts w:hint="eastAsia" w:ascii="宋体" w:hAnsi="宋体" w:cs="宋体"/>
          <w:b/>
          <w:i w:val="0"/>
          <w:iCs w:val="0"/>
          <w:color w:val="000000"/>
          <w:kern w:val="0"/>
          <w:sz w:val="48"/>
          <w:szCs w:val="48"/>
          <w:u w:val="none"/>
          <w:lang w:val="en-US" w:eastAsia="zh-CN" w:bidi="ar"/>
        </w:rPr>
        <w:t>设备采购</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cs="宋体"/>
          <w:b/>
          <w:i w:val="0"/>
          <w:iCs w:val="0"/>
          <w:color w:val="000000"/>
          <w:kern w:val="0"/>
          <w:sz w:val="48"/>
          <w:szCs w:val="48"/>
          <w:u w:val="none"/>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r>
        <w:rPr>
          <w:rFonts w:hint="eastAsia" w:ascii="宋体" w:hAnsi="宋体" w:eastAsia="宋体" w:cs="宋体"/>
          <w:b/>
          <w:i w:val="0"/>
          <w:iCs w:val="0"/>
          <w:color w:val="000000"/>
          <w:kern w:val="0"/>
          <w:sz w:val="48"/>
          <w:szCs w:val="48"/>
          <w:u w:val="none"/>
          <w:lang w:val="en-US" w:eastAsia="zh-CN" w:bidi="ar"/>
        </w:rPr>
        <w:t>询价文件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pPr>
        <w:pStyle w:val="5"/>
        <w:numPr>
          <w:ilvl w:val="1"/>
          <w:numId w:val="0"/>
        </w:numPr>
        <w:bidi w:val="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pPr>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22"/>
        <w:rPr>
          <w:rFonts w:hint="eastAsia"/>
          <w:lang w:val="en-US" w:eastAsia="zh-CN"/>
        </w:rPr>
      </w:pPr>
    </w:p>
    <w:p>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pPr>
        <w:pStyle w:val="5"/>
        <w:numPr>
          <w:ilvl w:val="0"/>
          <w:numId w:val="2"/>
        </w:numPr>
        <w:bidi w:val="0"/>
        <w:ind w:left="0" w:leftChars="0" w:firstLine="420" w:firstLineChars="0"/>
        <w:jc w:val="center"/>
      </w:pPr>
      <w:r>
        <w:rPr>
          <w:rFonts w:hint="eastAsia"/>
        </w:rPr>
        <w:t>报 价 函</w:t>
      </w:r>
    </w:p>
    <w:p>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pPr>
        <w:spacing w:line="360" w:lineRule="auto"/>
        <w:ind w:firstLine="480"/>
        <w:rPr>
          <w:rFonts w:hint="eastAsia" w:ascii="仿宋" w:hAnsi="仿宋" w:eastAsia="仿宋" w:cs="仿宋"/>
          <w:sz w:val="28"/>
          <w:szCs w:val="28"/>
        </w:rPr>
      </w:pPr>
    </w:p>
    <w:p>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不含税价=含税价/（1+增值税税率），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pPr>
        <w:spacing w:line="360" w:lineRule="auto"/>
        <w:ind w:firstLine="480"/>
        <w:rPr>
          <w:szCs w:val="24"/>
        </w:rPr>
      </w:pPr>
    </w:p>
    <w:p>
      <w:pPr>
        <w:spacing w:line="360" w:lineRule="auto"/>
        <w:ind w:firstLine="480"/>
        <w:rPr>
          <w:szCs w:val="24"/>
        </w:rPr>
      </w:pPr>
    </w:p>
    <w:p>
      <w:pPr>
        <w:spacing w:line="360" w:lineRule="auto"/>
        <w:ind w:firstLine="480"/>
        <w:rPr>
          <w:rFonts w:hint="eastAsia" w:ascii="仿宋" w:hAnsi="仿宋" w:eastAsia="仿宋" w:cs="仿宋"/>
          <w:sz w:val="28"/>
          <w:szCs w:val="28"/>
        </w:rPr>
      </w:pPr>
    </w:p>
    <w:p>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pPr>
        <w:ind w:firstLine="482"/>
        <w:rPr>
          <w:rFonts w:hint="eastAsia" w:ascii="仿宋" w:hAnsi="仿宋" w:eastAsia="仿宋" w:cs="仿宋"/>
          <w:b/>
          <w:bCs/>
          <w:sz w:val="28"/>
          <w:szCs w:val="28"/>
          <w:lang w:val="zh-CN"/>
        </w:rPr>
      </w:pPr>
    </w:p>
    <w:p>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pPr>
        <w:ind w:firstLine="482"/>
        <w:rPr>
          <w:rFonts w:hint="eastAsia" w:ascii="仿宋" w:hAnsi="仿宋" w:eastAsia="仿宋" w:cs="仿宋"/>
          <w:b/>
          <w:bCs/>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pPr>
        <w:ind w:firstLine="643"/>
        <w:rPr>
          <w:rFonts w:hint="eastAsia" w:ascii="仿宋" w:hAnsi="仿宋" w:eastAsia="仿宋" w:cs="仿宋"/>
          <w:b/>
          <w:sz w:val="32"/>
          <w:szCs w:val="32"/>
        </w:rPr>
      </w:pPr>
      <w:r>
        <w:rPr>
          <w:rFonts w:hint="eastAsia" w:ascii="仿宋" w:hAnsi="仿宋" w:eastAsia="仿宋" w:cs="仿宋"/>
          <w:b/>
          <w:sz w:val="32"/>
          <w:szCs w:val="32"/>
        </w:rPr>
        <w:br w:type="page"/>
      </w:r>
    </w:p>
    <w:p>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pPr>
        <w:rPr>
          <w:rFonts w:hint="eastAsia"/>
          <w:lang w:val="zh-CN" w:eastAsia="zh-CN"/>
        </w:rPr>
      </w:pP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pPr>
        <w:autoSpaceDE w:val="0"/>
        <w:autoSpaceDN w:val="0"/>
        <w:adjustRightInd w:val="0"/>
        <w:ind w:firstLine="482"/>
        <w:rPr>
          <w:rFonts w:hint="eastAsia" w:ascii="仿宋" w:hAnsi="仿宋" w:eastAsia="仿宋" w:cs="仿宋"/>
          <w:b/>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pPr>
        <w:rPr>
          <w:rFonts w:hint="eastAsia"/>
        </w:rPr>
      </w:pPr>
      <w:r>
        <w:rPr>
          <w:rFonts w:hint="eastAsia"/>
        </w:rPr>
        <w:br w:type="page"/>
      </w:r>
    </w:p>
    <w:p>
      <w:pPr>
        <w:pStyle w:val="15"/>
        <w:rPr>
          <w:rFonts w:hint="eastAsia"/>
        </w:rPr>
        <w:sectPr>
          <w:pgSz w:w="11906" w:h="16838"/>
          <w:pgMar w:top="1440" w:right="1800" w:bottom="1440" w:left="1800" w:header="851" w:footer="992" w:gutter="0"/>
          <w:cols w:space="425" w:num="1"/>
          <w:docGrid w:type="lines" w:linePitch="312" w:charSpace="0"/>
        </w:sectPr>
      </w:pPr>
    </w:p>
    <w:p>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2.3、营业执照（加盖公章）</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2.4、原厂授权(原厂直接参与无需提供此项)</w:t>
      </w:r>
    </w:p>
    <w:p>
      <w:pPr>
        <w:rPr>
          <w:rFonts w:hint="eastAsia"/>
          <w:lang w:val="en-US" w:eastAsia="zh-CN"/>
        </w:rPr>
        <w:sectPr>
          <w:pgSz w:w="11906" w:h="16838"/>
          <w:pgMar w:top="1440" w:right="1800" w:bottom="1440" w:left="1800" w:header="851" w:footer="992" w:gutter="0"/>
          <w:cols w:space="425" w:num="1"/>
          <w:docGrid w:type="lines" w:linePitch="312" w:charSpace="0"/>
        </w:sectPr>
      </w:pPr>
    </w:p>
    <w:tbl>
      <w:tblPr>
        <w:tblStyle w:val="24"/>
        <w:tblW w:w="145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05"/>
        <w:gridCol w:w="2882"/>
        <w:gridCol w:w="4125"/>
        <w:gridCol w:w="1243"/>
        <w:gridCol w:w="418"/>
        <w:gridCol w:w="664"/>
        <w:gridCol w:w="1682"/>
        <w:gridCol w:w="1682"/>
        <w:gridCol w:w="11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14520" w:type="dxa"/>
            <w:gridSpan w:val="9"/>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ascii="方正小标宋_GBK" w:hAnsi="方正小标宋_GBK" w:eastAsia="方正小标宋_GBK" w:cs="方正小标宋_GBK"/>
                <w:i w:val="0"/>
                <w:iCs w:val="0"/>
                <w:color w:val="000000"/>
                <w:sz w:val="32"/>
                <w:szCs w:val="32"/>
                <w:u w:val="none"/>
              </w:rPr>
            </w:pPr>
            <w:r>
              <w:rPr>
                <w:rFonts w:hint="default" w:ascii="方正小标宋_GBK" w:hAnsi="方正小标宋_GBK" w:eastAsia="方正小标宋_GBK" w:cs="方正小标宋_GBK"/>
                <w:i w:val="0"/>
                <w:iCs w:val="0"/>
                <w:color w:val="000000"/>
                <w:kern w:val="0"/>
                <w:sz w:val="32"/>
                <w:szCs w:val="32"/>
                <w:u w:val="none"/>
                <w:lang w:val="en-US" w:eastAsia="zh-CN" w:bidi="ar"/>
              </w:rPr>
              <w:t>三、清单报价表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5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询价单位</w:t>
            </w: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江苏省淮安市保安服务有限公司</w:t>
            </w:r>
          </w:p>
        </w:tc>
        <w:tc>
          <w:tcPr>
            <w:tcW w:w="23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报价单位</w:t>
            </w:r>
          </w:p>
        </w:tc>
        <w:tc>
          <w:tcPr>
            <w:tcW w:w="4483" w:type="dxa"/>
            <w:gridSpan w:val="3"/>
            <w:tcBorders>
              <w:top w:val="single" w:color="000000" w:sz="4" w:space="0"/>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5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联系人</w:t>
            </w: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23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法定代表人或授权委托人</w:t>
            </w:r>
          </w:p>
        </w:tc>
        <w:tc>
          <w:tcPr>
            <w:tcW w:w="4483" w:type="dxa"/>
            <w:gridSpan w:val="3"/>
            <w:tcBorders>
              <w:top w:val="single" w:color="000000" w:sz="4" w:space="0"/>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5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23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4483" w:type="dxa"/>
            <w:gridSpan w:val="3"/>
            <w:tcBorders>
              <w:top w:val="single" w:color="000000" w:sz="4" w:space="0"/>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5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single"/>
              </w:rPr>
            </w:pPr>
            <w:r>
              <w:rPr>
                <w:rFonts w:hint="eastAsia" w:ascii="宋体" w:hAnsi="宋体" w:eastAsia="宋体" w:cs="宋体"/>
                <w:i w:val="0"/>
                <w:iCs w:val="0"/>
                <w:color w:val="000000"/>
                <w:kern w:val="0"/>
                <w:sz w:val="24"/>
                <w:szCs w:val="24"/>
                <w:u w:val="single"/>
                <w:lang w:val="en-US" w:eastAsia="zh-CN" w:bidi="ar"/>
              </w:rPr>
              <w:t>HABAccb@163.com</w:t>
            </w:r>
          </w:p>
        </w:tc>
        <w:tc>
          <w:tcPr>
            <w:tcW w:w="23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4483" w:type="dxa"/>
            <w:gridSpan w:val="3"/>
            <w:tcBorders>
              <w:top w:val="single" w:color="000000" w:sz="4" w:space="0"/>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5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23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报价日期</w:t>
            </w:r>
          </w:p>
        </w:tc>
        <w:tc>
          <w:tcPr>
            <w:tcW w:w="4483" w:type="dxa"/>
            <w:gridSpan w:val="3"/>
            <w:tcBorders>
              <w:top w:val="single" w:color="000000" w:sz="4" w:space="0"/>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2" w:hRule="atLeast"/>
        </w:trPr>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28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41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品牌型号</w:t>
            </w:r>
          </w:p>
        </w:tc>
        <w:tc>
          <w:tcPr>
            <w:tcW w:w="1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08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33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金额（元）</w:t>
            </w:r>
          </w:p>
        </w:tc>
        <w:tc>
          <w:tcPr>
            <w:tcW w:w="11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2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4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合价</w:t>
            </w:r>
          </w:p>
        </w:tc>
        <w:tc>
          <w:tcPr>
            <w:tcW w:w="11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2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分布式坐席输入终端KVM</w:t>
            </w: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铁力山AG-FTU-H</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108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2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分布式坐席输出终端</w:t>
            </w: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铁力山AG-FRU-H</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108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2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光纤一体化处理器</w:t>
            </w: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铁力山MXS-BVP8000-8</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108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2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光纤一体化处理器</w:t>
            </w: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铁力山MXS-BVP8000-4</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108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2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无线路由器</w:t>
            </w: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TP-linkAX300</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108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2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控制平板</w:t>
            </w: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华为HUAWEI MatePad SE</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108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7"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w:t>
            </w:r>
          </w:p>
        </w:tc>
        <w:tc>
          <w:tcPr>
            <w:tcW w:w="2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可视化运维节点</w:t>
            </w: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铁力山AR-HFS-MS</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108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2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智能中控节点</w:t>
            </w: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铁力山AR-HFS-DS8</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108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w:t>
            </w:r>
          </w:p>
        </w:tc>
        <w:tc>
          <w:tcPr>
            <w:tcW w:w="2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串口拓展器</w:t>
            </w: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国产优质定制</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108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7"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2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电源控制器</w:t>
            </w: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国产优质定制</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108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w:t>
            </w:r>
          </w:p>
        </w:tc>
        <w:tc>
          <w:tcPr>
            <w:tcW w:w="2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万兆交换机</w:t>
            </w: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华为CloudEngine</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6857E-48S6CQ</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108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2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万兆光模块</w:t>
            </w: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华为万兆10KM</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108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68</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w:t>
            </w:r>
          </w:p>
        </w:tc>
        <w:tc>
          <w:tcPr>
            <w:tcW w:w="2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辅材</w:t>
            </w: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国产优质定制</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w:t>
            </w:r>
          </w:p>
        </w:tc>
        <w:tc>
          <w:tcPr>
            <w:tcW w:w="108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w:t>
            </w:r>
          </w:p>
        </w:tc>
        <w:tc>
          <w:tcPr>
            <w:tcW w:w="2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3人正弧形操作员席位</w:t>
            </w: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铁力山定制</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108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2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3人反弧形操作员席位</w:t>
            </w: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铁力山定制</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108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w:t>
            </w:r>
          </w:p>
        </w:tc>
        <w:tc>
          <w:tcPr>
            <w:tcW w:w="2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键盘托盘</w:t>
            </w: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铁力山定制</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108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w:t>
            </w:r>
          </w:p>
        </w:tc>
        <w:tc>
          <w:tcPr>
            <w:tcW w:w="2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电脑主机服务器托盘</w:t>
            </w: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铁力山定制</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108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36</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w:t>
            </w:r>
          </w:p>
        </w:tc>
        <w:tc>
          <w:tcPr>
            <w:tcW w:w="2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亚克力灯带</w:t>
            </w: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铁力山定制</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108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w:t>
            </w:r>
          </w:p>
        </w:tc>
        <w:tc>
          <w:tcPr>
            <w:tcW w:w="2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人体工学椅</w:t>
            </w: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国产优质定制</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张</w:t>
            </w:r>
          </w:p>
        </w:tc>
        <w:tc>
          <w:tcPr>
            <w:tcW w:w="108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2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折角型7人操作员席位</w:t>
            </w: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铁力山定制</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108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w:t>
            </w:r>
          </w:p>
        </w:tc>
        <w:tc>
          <w:tcPr>
            <w:tcW w:w="2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键盘托盘</w:t>
            </w: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铁力山定制</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108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22</w:t>
            </w:r>
          </w:p>
        </w:tc>
        <w:tc>
          <w:tcPr>
            <w:tcW w:w="2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电脑主机服务器托盘</w:t>
            </w: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铁力山定制</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108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23</w:t>
            </w:r>
          </w:p>
        </w:tc>
        <w:tc>
          <w:tcPr>
            <w:tcW w:w="2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亚克力灯带</w:t>
            </w: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铁力山定制</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108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7"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24</w:t>
            </w:r>
          </w:p>
        </w:tc>
        <w:tc>
          <w:tcPr>
            <w:tcW w:w="2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人体工学椅</w:t>
            </w: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国产优质定制</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张</w:t>
            </w:r>
          </w:p>
        </w:tc>
        <w:tc>
          <w:tcPr>
            <w:tcW w:w="108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w:t>
            </w:r>
          </w:p>
        </w:tc>
        <w:tc>
          <w:tcPr>
            <w:tcW w:w="2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鱼骨型6人操作员席位</w:t>
            </w: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铁力山定制</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108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26</w:t>
            </w:r>
          </w:p>
        </w:tc>
        <w:tc>
          <w:tcPr>
            <w:tcW w:w="2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人体工学椅</w:t>
            </w: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国产优质定制</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张</w:t>
            </w:r>
          </w:p>
        </w:tc>
        <w:tc>
          <w:tcPr>
            <w:tcW w:w="108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27</w:t>
            </w:r>
          </w:p>
        </w:tc>
        <w:tc>
          <w:tcPr>
            <w:tcW w:w="2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梅花型3人操作员席位</w:t>
            </w: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铁力山定制</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108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28</w:t>
            </w:r>
          </w:p>
        </w:tc>
        <w:tc>
          <w:tcPr>
            <w:tcW w:w="2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定制异形7人操作员席位</w:t>
            </w: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铁力山定制</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108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29</w:t>
            </w:r>
          </w:p>
        </w:tc>
        <w:tc>
          <w:tcPr>
            <w:tcW w:w="2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键盘托盘</w:t>
            </w: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铁力山定制</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108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39</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w:t>
            </w:r>
          </w:p>
        </w:tc>
        <w:tc>
          <w:tcPr>
            <w:tcW w:w="2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电脑主机服务器托盘</w:t>
            </w: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铁力山定制</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108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72</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31</w:t>
            </w:r>
          </w:p>
        </w:tc>
        <w:tc>
          <w:tcPr>
            <w:tcW w:w="2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亚克力灯带</w:t>
            </w: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铁力山定制</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108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32</w:t>
            </w:r>
          </w:p>
        </w:tc>
        <w:tc>
          <w:tcPr>
            <w:tcW w:w="2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人体工学椅</w:t>
            </w: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国产优质定制</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张</w:t>
            </w:r>
          </w:p>
        </w:tc>
        <w:tc>
          <w:tcPr>
            <w:tcW w:w="108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39</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33</w:t>
            </w:r>
          </w:p>
        </w:tc>
        <w:tc>
          <w:tcPr>
            <w:tcW w:w="2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16人分析研判会议桌</w:t>
            </w: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铁力山定制</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108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34</w:t>
            </w:r>
          </w:p>
        </w:tc>
        <w:tc>
          <w:tcPr>
            <w:tcW w:w="2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会议专用椅</w:t>
            </w: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国产优质定制</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张</w:t>
            </w:r>
          </w:p>
        </w:tc>
        <w:tc>
          <w:tcPr>
            <w:tcW w:w="108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28</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35</w:t>
            </w:r>
          </w:p>
        </w:tc>
        <w:tc>
          <w:tcPr>
            <w:tcW w:w="1381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r>
              <w:rPr>
                <w:rFonts w:hint="eastAsia" w:ascii="宋体" w:hAnsi="宋体" w:eastAsia="宋体" w:cs="宋体"/>
                <w:i w:val="0"/>
                <w:iCs w:val="0"/>
                <w:color w:val="000000"/>
                <w:kern w:val="0"/>
                <w:sz w:val="22"/>
                <w:szCs w:val="22"/>
                <w:u w:val="single"/>
                <w:lang w:val="en-US" w:eastAsia="zh-CN" w:bidi="ar"/>
              </w:rPr>
              <w:t xml:space="preserve">      </w:t>
            </w:r>
            <w:r>
              <w:rPr>
                <w:rFonts w:hint="eastAsia" w:ascii="宋体" w:hAnsi="宋体" w:cs="宋体"/>
                <w:i w:val="0"/>
                <w:iCs w:val="0"/>
                <w:color w:val="000000"/>
                <w:kern w:val="0"/>
                <w:sz w:val="22"/>
                <w:szCs w:val="22"/>
                <w:u w:val="single"/>
                <w:lang w:val="en-US" w:eastAsia="zh-CN" w:bidi="ar"/>
              </w:rPr>
              <w:t xml:space="preserve">   </w:t>
            </w:r>
            <w:r>
              <w:rPr>
                <w:rFonts w:hint="eastAsia" w:ascii="宋体" w:hAnsi="宋体" w:eastAsia="宋体" w:cs="宋体"/>
                <w:i w:val="0"/>
                <w:iCs w:val="0"/>
                <w:color w:val="000000"/>
                <w:kern w:val="0"/>
                <w:sz w:val="22"/>
                <w:szCs w:val="22"/>
                <w:u w:val="singl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1452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注：以上报价含可抵扣的增值税专用发票、运费以及卸货相关服务费用。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35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是否接受保证金（控制价的2%）           </w:t>
            </w: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FF0000"/>
                <w:sz w:val="24"/>
                <w:szCs w:val="24"/>
                <w:u w:val="none"/>
              </w:rPr>
            </w:pPr>
          </w:p>
        </w:tc>
        <w:tc>
          <w:tcPr>
            <w:tcW w:w="16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是否接受履约保证金（成交金额的10%）</w:t>
            </w:r>
          </w:p>
        </w:tc>
        <w:tc>
          <w:tcPr>
            <w:tcW w:w="514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FF0000"/>
                <w:sz w:val="24"/>
                <w:szCs w:val="24"/>
                <w:u w:val="none"/>
              </w:rPr>
            </w:pPr>
            <w:bookmarkStart w:id="0" w:name="_GoBack"/>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35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质保期：             </w:t>
            </w: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三年</w:t>
            </w:r>
          </w:p>
        </w:tc>
        <w:tc>
          <w:tcPr>
            <w:tcW w:w="16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报价有效期：</w:t>
            </w:r>
          </w:p>
        </w:tc>
        <w:tc>
          <w:tcPr>
            <w:tcW w:w="514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0" w:hRule="atLeast"/>
        </w:trPr>
        <w:tc>
          <w:tcPr>
            <w:tcW w:w="35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供货期：             </w:t>
            </w: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15天</w:t>
            </w:r>
          </w:p>
        </w:tc>
        <w:tc>
          <w:tcPr>
            <w:tcW w:w="16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付款方式</w:t>
            </w:r>
          </w:p>
        </w:tc>
        <w:tc>
          <w:tcPr>
            <w:tcW w:w="514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合同签订后付合同总价的40%，货物生产完成后发货前付至合同价的70%，项目完成经甲方验收合格后付清全款。</w:t>
            </w:r>
          </w:p>
        </w:tc>
      </w:tr>
    </w:tbl>
    <w:p>
      <w:pPr>
        <w:pStyle w:val="15"/>
        <w:ind w:left="0" w:leftChars="0" w:firstLine="0" w:firstLineChars="0"/>
        <w:rPr>
          <w:rFonts w:hint="eastAsia" w:ascii="黑体" w:hAnsi="宋体" w:eastAsia="黑体" w:cs="黑体"/>
          <w:i w:val="0"/>
          <w:iCs w:val="0"/>
          <w:color w:val="FF0000"/>
          <w:kern w:val="0"/>
          <w:sz w:val="24"/>
          <w:szCs w:val="24"/>
          <w:u w:val="none"/>
          <w:lang w:val="en-US" w:eastAsia="zh-CN" w:bidi="ar"/>
        </w:rPr>
        <w:sectPr>
          <w:pgSz w:w="16838" w:h="11906" w:orient="landscape"/>
          <w:pgMar w:top="1800" w:right="1440" w:bottom="1800" w:left="1440" w:header="851" w:footer="992" w:gutter="0"/>
          <w:cols w:space="425" w:num="1"/>
          <w:docGrid w:type="lines" w:linePitch="312" w:charSpace="0"/>
        </w:sectPr>
      </w:pPr>
    </w:p>
    <w:p>
      <w:pPr>
        <w:pStyle w:val="2"/>
        <w:numPr>
          <w:ilvl w:val="0"/>
          <w:numId w:val="0"/>
        </w:numPr>
        <w:bidi w:val="0"/>
        <w:ind w:leftChars="0"/>
        <w:jc w:val="center"/>
        <w:rPr>
          <w:rFonts w:hint="eastAsia" w:ascii="仿宋" w:hAnsi="仿宋" w:eastAsia="仿宋" w:cs="仿宋"/>
          <w:lang w:eastAsia="zh-CN"/>
        </w:rPr>
      </w:pPr>
      <w:r>
        <w:rPr>
          <w:rFonts w:hint="eastAsia" w:ascii="仿宋" w:hAnsi="仿宋" w:eastAsia="仿宋" w:cs="仿宋"/>
        </w:rPr>
        <w:t>合同格式及条款</w:t>
      </w:r>
    </w:p>
    <w:p>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甲方：江苏省淮安市保安服务有限公司                         </w:t>
      </w:r>
    </w:p>
    <w:p>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乙方：</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p>
    <w:p>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甲乙双方本着自愿、平等、诚实、信用的原则，依照《中华人民共和国民法典》及其它有关的法律法规下, 经协商订立合同条款如下：</w:t>
      </w:r>
    </w:p>
    <w:p>
      <w:pPr>
        <w:spacing w:line="360" w:lineRule="auto"/>
        <w:ind w:firstLine="482" w:firstLineChars="200"/>
        <w:rPr>
          <w:rFonts w:hint="eastAsia" w:ascii="仿宋" w:hAnsi="仿宋" w:eastAsia="仿宋" w:cs="仿宋"/>
          <w:bCs/>
          <w:color w:val="auto"/>
          <w:sz w:val="24"/>
          <w:szCs w:val="24"/>
          <w:lang w:eastAsia="zh-CN"/>
        </w:rPr>
      </w:pPr>
      <w:r>
        <w:rPr>
          <w:rFonts w:hint="eastAsia" w:ascii="仿宋" w:hAnsi="仿宋" w:eastAsia="仿宋" w:cs="仿宋"/>
          <w:b/>
          <w:bCs/>
          <w:color w:val="auto"/>
          <w:sz w:val="24"/>
          <w:szCs w:val="24"/>
          <w:lang w:val="en-US" w:eastAsia="zh-CN"/>
        </w:rPr>
        <w:t>第一条.</w:t>
      </w:r>
      <w:r>
        <w:rPr>
          <w:rFonts w:hint="eastAsia" w:ascii="仿宋" w:hAnsi="仿宋" w:eastAsia="仿宋" w:cs="仿宋"/>
          <w:b/>
          <w:bCs/>
          <w:color w:val="auto"/>
          <w:sz w:val="24"/>
          <w:szCs w:val="24"/>
        </w:rPr>
        <w:t>采购清单</w:t>
      </w:r>
      <w:r>
        <w:rPr>
          <w:rFonts w:hint="eastAsia" w:ascii="仿宋" w:hAnsi="仿宋" w:eastAsia="仿宋" w:cs="仿宋"/>
          <w:b/>
          <w:bCs/>
          <w:color w:val="auto"/>
          <w:sz w:val="24"/>
          <w:szCs w:val="24"/>
          <w:lang w:eastAsia="zh-CN"/>
        </w:rPr>
        <w:t>：</w:t>
      </w:r>
    </w:p>
    <w:tbl>
      <w:tblPr>
        <w:tblStyle w:val="24"/>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25"/>
        <w:gridCol w:w="1310"/>
        <w:gridCol w:w="827"/>
        <w:gridCol w:w="800"/>
        <w:gridCol w:w="709"/>
        <w:gridCol w:w="992"/>
        <w:gridCol w:w="1262"/>
        <w:gridCol w:w="8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525" w:type="dxa"/>
            <w:noWrap w:val="0"/>
            <w:vAlign w:val="center"/>
          </w:tcPr>
          <w:p>
            <w:pPr>
              <w:pStyle w:val="17"/>
              <w:spacing w:line="340" w:lineRule="exact"/>
              <w:ind w:left="0" w:leftChars="0" w:right="-238" w:rightChars="-99"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货物名称</w:t>
            </w:r>
          </w:p>
        </w:tc>
        <w:tc>
          <w:tcPr>
            <w:tcW w:w="131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品牌型号</w:t>
            </w:r>
          </w:p>
        </w:tc>
        <w:tc>
          <w:tcPr>
            <w:tcW w:w="827"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80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709"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单价</w:t>
            </w:r>
          </w:p>
        </w:tc>
        <w:tc>
          <w:tcPr>
            <w:tcW w:w="99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总价</w:t>
            </w:r>
          </w:p>
        </w:tc>
        <w:tc>
          <w:tcPr>
            <w:tcW w:w="126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质保期</w:t>
            </w:r>
          </w:p>
        </w:tc>
        <w:tc>
          <w:tcPr>
            <w:tcW w:w="853"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98" w:type="dxa"/>
            <w:gridSpan w:val="9"/>
            <w:noWrap w:val="0"/>
            <w:vAlign w:val="center"/>
          </w:tcPr>
          <w:p>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总价（</w:t>
            </w:r>
            <w:r>
              <w:rPr>
                <w:rFonts w:hint="eastAsia" w:ascii="仿宋" w:hAnsi="仿宋" w:eastAsia="仿宋" w:cs="仿宋"/>
                <w:color w:val="auto"/>
                <w:sz w:val="24"/>
                <w:szCs w:val="24"/>
                <w:lang w:val="en-US" w:eastAsia="zh-CN"/>
              </w:rPr>
              <w:t>含税</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其中不含税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元，增值税税率：</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w:t>
            </w:r>
          </w:p>
        </w:tc>
      </w:tr>
    </w:tbl>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备注：以上总金额包含与产品采购相关的全部价款。（包括但不限于海关、税票、运输、保险费用等），要求乙方提供增值税专用发票及财务需要的相关资料, 其发票内容与合同清单的一致。 </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第二条：付款方式</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FF0000"/>
          <w:sz w:val="24"/>
          <w:szCs w:val="24"/>
          <w:lang w:val="en-US" w:eastAsia="zh-CN"/>
        </w:rPr>
        <w:t>1、付款条件:合同签订后个7日内支付40%预付款，货到验收合格后3个月内付清其余的货款。</w:t>
      </w:r>
      <w:r>
        <w:rPr>
          <w:rFonts w:hint="eastAsia" w:ascii="仿宋" w:hAnsi="仿宋" w:eastAsia="仿宋" w:cs="仿宋"/>
          <w:color w:val="auto"/>
          <w:sz w:val="24"/>
          <w:szCs w:val="24"/>
          <w:lang w:val="en-US" w:eastAsia="zh-CN"/>
        </w:rPr>
        <w:t>注：付款时供应商须提供正规发票（因发票问题而导致无法正常付款的，责任由供应商自己承担）。</w:t>
      </w:r>
    </w:p>
    <w:p>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auto"/>
          <w:sz w:val="24"/>
          <w:szCs w:val="24"/>
          <w:highlight w:val="green"/>
          <w:lang w:val="en-US" w:eastAsia="zh-CN"/>
        </w:rPr>
      </w:pPr>
      <w:r>
        <w:rPr>
          <w:rFonts w:hint="eastAsia" w:ascii="仿宋" w:hAnsi="仿宋" w:eastAsia="仿宋" w:cs="仿宋"/>
          <w:color w:val="auto"/>
          <w:sz w:val="24"/>
          <w:szCs w:val="24"/>
          <w:highlight w:val="green"/>
          <w:lang w:val="en-US" w:eastAsia="zh-CN"/>
        </w:rPr>
        <w:t>2、付款形式：银行转账。</w:t>
      </w:r>
    </w:p>
    <w:p>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仿宋" w:hAnsi="仿宋" w:eastAsia="仿宋" w:cs="仿宋"/>
          <w:color w:val="auto"/>
          <w:sz w:val="24"/>
          <w:szCs w:val="24"/>
          <w:highlight w:val="green"/>
          <w:lang w:val="en-US" w:eastAsia="zh-CN"/>
        </w:rPr>
      </w:pPr>
      <w:r>
        <w:rPr>
          <w:rFonts w:hint="eastAsia" w:ascii="仿宋" w:hAnsi="仿宋" w:eastAsia="仿宋" w:cs="仿宋"/>
          <w:color w:val="auto"/>
          <w:sz w:val="24"/>
          <w:szCs w:val="24"/>
          <w:highlight w:val="green"/>
          <w:lang w:val="en-US" w:eastAsia="zh-CN"/>
        </w:rPr>
        <w:t>1）甲方账户信息：</w:t>
      </w:r>
    </w:p>
    <w:p>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green"/>
          <w:lang w:eastAsia="zh-CN"/>
        </w:rPr>
      </w:pPr>
      <w:r>
        <w:rPr>
          <w:rFonts w:hint="eastAsia" w:ascii="仿宋" w:hAnsi="仿宋" w:eastAsia="仿宋" w:cs="仿宋"/>
          <w:color w:val="auto"/>
          <w:sz w:val="24"/>
          <w:szCs w:val="24"/>
          <w:highlight w:val="green"/>
          <w:lang w:eastAsia="zh-CN"/>
        </w:rPr>
        <w:t>户名：江苏省淮安市保安服务有限公司</w:t>
      </w:r>
    </w:p>
    <w:p>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green"/>
          <w:lang w:val="en-US" w:eastAsia="zh-CN" w:bidi="ar-SA"/>
        </w:rPr>
      </w:pPr>
      <w:r>
        <w:rPr>
          <w:rFonts w:hint="eastAsia" w:ascii="仿宋" w:hAnsi="仿宋" w:eastAsia="仿宋" w:cs="仿宋"/>
          <w:color w:val="auto"/>
          <w:sz w:val="24"/>
          <w:szCs w:val="24"/>
          <w:highlight w:val="green"/>
          <w:lang w:val="en-US" w:eastAsia="zh-CN" w:bidi="ar-SA"/>
        </w:rPr>
        <w:t>开户银行：中国建设银行淮安分行营业部</w:t>
      </w:r>
    </w:p>
    <w:p>
      <w:pPr>
        <w:pStyle w:val="5"/>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账号：32001728636050797351</w:t>
      </w:r>
    </w:p>
    <w:p>
      <w:pPr>
        <w:keepNext w:val="0"/>
        <w:keepLines w:val="0"/>
        <w:pageBreakBefore w:val="0"/>
        <w:widowControl w:val="0"/>
        <w:numPr>
          <w:ilvl w:val="0"/>
          <w:numId w:val="0"/>
        </w:numPr>
        <w:shd w:val="clear"/>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2）乙方账户信息：</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收款户名：</w:t>
      </w:r>
    </w:p>
    <w:p>
      <w:pPr>
        <w:pStyle w:val="5"/>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账号：</w:t>
      </w:r>
    </w:p>
    <w:p>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开户行：</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第三条：交货方式和时间</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本合同供货时间和地点在</w:t>
      </w:r>
      <w:r>
        <w:rPr>
          <w:rFonts w:hint="eastAsia" w:ascii="仿宋" w:hAnsi="仿宋" w:eastAsia="仿宋" w:cs="仿宋"/>
          <w:color w:val="auto"/>
          <w:sz w:val="24"/>
          <w:szCs w:val="24"/>
          <w:lang w:val="en-US" w:eastAsia="zh-CN"/>
        </w:rPr>
        <w:t>询价</w:t>
      </w:r>
      <w:r>
        <w:rPr>
          <w:rFonts w:hint="eastAsia" w:ascii="仿宋" w:hAnsi="仿宋" w:eastAsia="仿宋" w:cs="仿宋"/>
          <w:color w:val="auto"/>
          <w:sz w:val="24"/>
          <w:szCs w:val="24"/>
        </w:rPr>
        <w:t>文件中有明确规定</w:t>
      </w:r>
      <w:r>
        <w:rPr>
          <w:rFonts w:hint="eastAsia" w:ascii="仿宋" w:hAnsi="仿宋" w:eastAsia="仿宋" w:cs="仿宋"/>
          <w:color w:val="auto"/>
          <w:sz w:val="24"/>
          <w:szCs w:val="24"/>
          <w:lang w:val="en-US" w:eastAsia="zh-CN"/>
        </w:rPr>
        <w:t>。</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2、甲方接收产品并验收签字前，产品的运输费用及产品毁损、灭失的风险由乙方承担。</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收到甲方的发货通知后，乙方发货，本合同生效。乙方交付产品时，应确保提供前述产品为全新正品，要求乙方提供货物直发现场的签收确认单，必须有本条款第一项甲方指定人员签字的收货清单为依据，否则视为乙方未完成交货。（附件为乙方盖章送货单）</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4、如下资料需随货提供：</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（1）产品质量保证书；（2）产品检验报告；（3）产品合格证； </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（4）产品使用及安装说明书； （5）其它资料文件随产品附带：                     </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第四条：包装、委托运输、产品验收</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1、乙方应当采取防潮、防雨及前述产品性质相符的措施进行包装、运输，产品采用原厂包装，包装及运输应当符合国家相关防护标准，外包装物按有关环保规定处置。</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2、乙方交付的产品不符合甲方项目需求的标准，或乙方交付的质量及技术文件不符合第三条第4款之约定，甲方有权拒收部分或全部产品，由此产生的费用和损失由乙方承担。</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3、乙方交付的产品数量、质量、规格不符合合同约定标准，甲方有权要求乙方在3日内补齐或更换约定质量、技术标准的产品，并承担延迟、更换产品的相关费用。</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4、甲方对乙方交付的产品进行签收，不视为甲方对乙方交付产品质量的认可。</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5、甲方验收依据合同清单或双方签署的技术协议书执行。</w:t>
      </w:r>
    </w:p>
    <w:p>
      <w:pPr>
        <w:bidi w:val="0"/>
        <w:ind w:firstLine="482" w:firstLineChars="200"/>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第五条: 技术支持、质量保证、售后服务、产品质保期</w:t>
      </w:r>
      <w:r>
        <w:rPr>
          <w:rFonts w:hint="eastAsia" w:ascii="仿宋" w:hAnsi="仿宋" w:eastAsia="仿宋" w:cs="仿宋"/>
          <w:color w:val="auto"/>
          <w:sz w:val="24"/>
          <w:szCs w:val="24"/>
          <w:lang w:val="en-US" w:eastAsia="zh-CN"/>
        </w:rPr>
        <w:t xml:space="preserve">              </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1、乙方所交付货物的售后服务标准依据原厂商相关规定执行。</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2、本合同项下产品质保期为</w:t>
      </w:r>
      <w:r>
        <w:rPr>
          <w:rFonts w:hint="eastAsia" w:ascii="仿宋" w:hAnsi="仿宋" w:eastAsia="仿宋" w:cs="仿宋"/>
          <w:color w:val="auto"/>
          <w:sz w:val="24"/>
          <w:szCs w:val="24"/>
          <w:highlight w:val="green"/>
          <w:u w:val="single"/>
          <w:lang w:val="en-US" w:eastAsia="zh-CN"/>
        </w:rPr>
        <w:t xml:space="preserve">    </w:t>
      </w:r>
      <w:r>
        <w:rPr>
          <w:rFonts w:hint="eastAsia" w:ascii="仿宋" w:hAnsi="仿宋" w:eastAsia="仿宋" w:cs="仿宋"/>
          <w:color w:val="auto"/>
          <w:sz w:val="24"/>
          <w:szCs w:val="24"/>
          <w:lang w:val="en-US" w:eastAsia="zh-CN"/>
        </w:rPr>
        <w:t>年，以设备验收单签字确认起算。甲方使用设备发生质量问题，甲方有权要求乙方在 4 小时内响应并进行电话说明，同时对问题产品在当日进行退货、更换、维修手续，保证 3 日内恢复正常使用功能，并承担由此产生所有的费用。</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3、乙方保证提供产品价格、参数、货期满足甲方项目实施需求，如甲方发现不能满足项目需求时，乙方需在24小时内协调处理，同时双方重新签署合同。</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4、质量要求：乙方提供产品符合国家质量标准和需方生产的要求（环保和安全性能应符合国家有关要求），需注明以下技术标准具体条款，国家军用标准（）、国家标准（）、行业标准（）、企业标准（） 并提供相关资料。</w:t>
      </w:r>
    </w:p>
    <w:p>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第六条: 货物风险及所有权</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1、甲方确认交付完成后，货物所有权归甲方所有。</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2、甲、乙双方针对本合同内容应有保密义务，在本合同期满、解除或终止后仍然有效。</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第七条: 违约责任</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无法按时交货，应依照合同总额按日千分之[四]向甲方支付违约金。如乙方迟延交货超过[ 5 ]日，甲方有权立即解除合同，乙方应当退回甲方支付的全部费用，并向甲方支付合同总额20%的违约金；甲方也可选择继续履行合同，乙方应当向甲方支付合同金额20% 的违约金，甲方有权自应付货款中扣除相应金额。</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2、乙方所提供货品因质量及售后等问题造成甲方项目暂停或停滞，乙方需对因此给甲方造成的全部损失承担赔偿责任，并向甲方支付合同金额20%的违约金。</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3、乙方若有任何违反本合同的行为，甲方均有权立即对乙方暂停付款并无需通知乙方，直至相关问题经确认已妥善解决为止。甲方也可根据实际情况 ，直接从应付乙方款项或乙方支付的履约质保金中扣除相关款项，以解决乙方违约行为所产生的问题，乙方对此已知且无任何异议。</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4、乙方承诺，未经甲方书面明确授权，乙方不得以自己名义或甲方名义直接向业主方收取任何款项或主张任何权利。</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当甲方向业主方主张合同欠款或进行索赔（包括但不限于发函、仲裁、诉讼、调解等），需要乙方提供相关证据资料或进行协助时，乙方应无条件配合，对甲方主张合同欠款或进行索赔所产生的相关费用（包括但不限于律师费、仲裁、诉讼、调解费用等），由乙方按与其相关的索赔比例承担；乙方不配合或拒绝承担相关费用的，视为乙方放弃索赔权利。</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在合同有效期及合同终止后两年内，甲乙双方均有责任对因本合同而接触或或知悉的对方公司有关信息予以严格保密，保密信息包括但不限于：与合同有关的讨论、谈判、本合同内容，项目信息，产品价格以及其他任何标记或指明为“保密”、“受控”等字样的载体及其内含信息。一方违反保密义务造成对方损失的，应当向对方承担赔偿责任。</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7、因乙方付款信息提供错误等原因导致甲方财务付款异常的，甲方付款时间自动延期一个月执行。乙方不得因此拒绝或延期履行发货、售后等合同义务，否则应当按照合同约定承担违约责任。</w:t>
      </w:r>
    </w:p>
    <w:p>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8、若成交供应商不能履行，成交供应商需缴纳违约金。违约金为成交价的10%。若成交供应商在规定时间内没有缴纳违约金，将被列入我公司采购黑名单。</w:t>
      </w:r>
    </w:p>
    <w:p>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第八条：合同纠纷的解决</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如双方在合同履行发生争议，应友好协商解决。协商不成，在本合同签订地人民法院起诉。</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第九条：注意事项</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1、有关本合同条款的修改、补充和变更，必须经双方协商一致，并以书面形式确定。</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合同中设备价格应包含签订合同时实行税对应相关税额，相关税率、税差等情况依据国家税务局相关调整文件进行变更，若合同存在国家税率变更时，未在纳税义务发生时进行开具发票，及合同后续开具发票，均需要执行现行国家税率政策，对应进行合同总金额调整。</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3、合同双方应当维护公平竞争环境，遵循法律法规和国际公认的商业道德标准/准则，禁止贿赂，禁止其他不正当竞争行为。</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4、双方约定：本合同及其附件、扫描件同等有效；</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5、本合同一式叁份，甲方贰份，乙方壹份，具有同等法律效力。</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6、为方便合同履行，乙方指派</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作为本合同履行乙方的授权代表人，联系方式：</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。乙方指派的授权代表人，代表乙方发出指令，确认合同履行中的相关事宜，签收往来函件，变更、调整合同条款，解除、终止本合同及其他相关事宜。</w:t>
      </w:r>
    </w:p>
    <w:p>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    方:                          乙    方:</w:t>
      </w:r>
    </w:p>
    <w:p>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单位盖章:（签章）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单位盖章:（签章）</w:t>
      </w:r>
    </w:p>
    <w:p>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代表签字:                          代表签字:</w:t>
      </w:r>
    </w:p>
    <w:p>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签定日期:                          签定日期:</w:t>
      </w:r>
    </w:p>
    <w:p>
      <w:pPr>
        <w:ind w:left="0" w:leftChars="0" w:firstLine="0" w:firstLineChars="0"/>
      </w:pPr>
    </w:p>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dobe 仿宋 Std R">
    <w:altName w:val="仿宋"/>
    <w:panose1 w:val="02020400000000000000"/>
    <w:charset w:val="86"/>
    <w:family w:val="roman"/>
    <w:pitch w:val="default"/>
    <w:sig w:usb0="00000000" w:usb1="00000000" w:usb2="00000016" w:usb3="00000000" w:csb0="00060007" w:csb1="00000000"/>
  </w:font>
  <w:font w:name="方正小标宋_GBK">
    <w:panose1 w:val="03000509000000000000"/>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lmMzVkOGQwNzkyMmE2YWFhOTNmNjMyMGU1YzhhM2UifQ=="/>
  </w:docVars>
  <w:rsids>
    <w:rsidRoot w:val="1F741D8C"/>
    <w:rsid w:val="00F471B2"/>
    <w:rsid w:val="02BD280C"/>
    <w:rsid w:val="02BD7BE0"/>
    <w:rsid w:val="03626CD0"/>
    <w:rsid w:val="03BB36BB"/>
    <w:rsid w:val="054A116B"/>
    <w:rsid w:val="06E65ABA"/>
    <w:rsid w:val="07CC21FA"/>
    <w:rsid w:val="082F30B8"/>
    <w:rsid w:val="0886108C"/>
    <w:rsid w:val="09FE7C7D"/>
    <w:rsid w:val="0BC2638F"/>
    <w:rsid w:val="0BDC6B78"/>
    <w:rsid w:val="0C882A07"/>
    <w:rsid w:val="0CD142BE"/>
    <w:rsid w:val="0D78696A"/>
    <w:rsid w:val="0DBF30C4"/>
    <w:rsid w:val="100159F1"/>
    <w:rsid w:val="10275305"/>
    <w:rsid w:val="10941E2C"/>
    <w:rsid w:val="138B678C"/>
    <w:rsid w:val="13A43BC7"/>
    <w:rsid w:val="144B0B25"/>
    <w:rsid w:val="157C124F"/>
    <w:rsid w:val="15B405D8"/>
    <w:rsid w:val="173B2189"/>
    <w:rsid w:val="1870435E"/>
    <w:rsid w:val="18B65219"/>
    <w:rsid w:val="193251CA"/>
    <w:rsid w:val="1959078F"/>
    <w:rsid w:val="1A48720E"/>
    <w:rsid w:val="1B811C42"/>
    <w:rsid w:val="1C1414B5"/>
    <w:rsid w:val="1CB642A6"/>
    <w:rsid w:val="1CBE542C"/>
    <w:rsid w:val="1E434544"/>
    <w:rsid w:val="1F444EB4"/>
    <w:rsid w:val="1F741D8C"/>
    <w:rsid w:val="1FC0011B"/>
    <w:rsid w:val="1FF000D2"/>
    <w:rsid w:val="23B60935"/>
    <w:rsid w:val="245503E6"/>
    <w:rsid w:val="25BA7F75"/>
    <w:rsid w:val="25DE44B5"/>
    <w:rsid w:val="264801BD"/>
    <w:rsid w:val="26A67AF4"/>
    <w:rsid w:val="27933CD9"/>
    <w:rsid w:val="292E08DE"/>
    <w:rsid w:val="29E622D3"/>
    <w:rsid w:val="2B6A410E"/>
    <w:rsid w:val="2B9E5DD1"/>
    <w:rsid w:val="2C761843"/>
    <w:rsid w:val="2D4E2C33"/>
    <w:rsid w:val="2DC647A7"/>
    <w:rsid w:val="2E1B2848"/>
    <w:rsid w:val="2E342253"/>
    <w:rsid w:val="300D6BCC"/>
    <w:rsid w:val="31140310"/>
    <w:rsid w:val="339B7C29"/>
    <w:rsid w:val="345319C9"/>
    <w:rsid w:val="37A7439E"/>
    <w:rsid w:val="37CA2BC5"/>
    <w:rsid w:val="38544E55"/>
    <w:rsid w:val="39963E4D"/>
    <w:rsid w:val="3B275F4B"/>
    <w:rsid w:val="3E5157CB"/>
    <w:rsid w:val="40130CAF"/>
    <w:rsid w:val="420E65EA"/>
    <w:rsid w:val="42BF1B92"/>
    <w:rsid w:val="435E2995"/>
    <w:rsid w:val="43966372"/>
    <w:rsid w:val="44EF43A5"/>
    <w:rsid w:val="46AE2EAA"/>
    <w:rsid w:val="48832749"/>
    <w:rsid w:val="493C6A78"/>
    <w:rsid w:val="49AB2DE5"/>
    <w:rsid w:val="4A0E06F8"/>
    <w:rsid w:val="4B1A7BD1"/>
    <w:rsid w:val="4BB038DA"/>
    <w:rsid w:val="4C73767A"/>
    <w:rsid w:val="4D030046"/>
    <w:rsid w:val="4E802F1D"/>
    <w:rsid w:val="4EF042FA"/>
    <w:rsid w:val="50417986"/>
    <w:rsid w:val="515E18DF"/>
    <w:rsid w:val="51765D9A"/>
    <w:rsid w:val="521C7398"/>
    <w:rsid w:val="527E16D3"/>
    <w:rsid w:val="52C14E18"/>
    <w:rsid w:val="5316709E"/>
    <w:rsid w:val="56E07198"/>
    <w:rsid w:val="57221F02"/>
    <w:rsid w:val="57DB3B40"/>
    <w:rsid w:val="59D75C73"/>
    <w:rsid w:val="5BBF6D32"/>
    <w:rsid w:val="5C02364F"/>
    <w:rsid w:val="5C4A6C71"/>
    <w:rsid w:val="5CA61E20"/>
    <w:rsid w:val="5DF96E76"/>
    <w:rsid w:val="5E0F059C"/>
    <w:rsid w:val="5F0458F0"/>
    <w:rsid w:val="5FE226DD"/>
    <w:rsid w:val="60C33852"/>
    <w:rsid w:val="61547E11"/>
    <w:rsid w:val="61852A60"/>
    <w:rsid w:val="62567581"/>
    <w:rsid w:val="64467711"/>
    <w:rsid w:val="64E752C4"/>
    <w:rsid w:val="65F729C7"/>
    <w:rsid w:val="66934D57"/>
    <w:rsid w:val="677551D7"/>
    <w:rsid w:val="69FD1FFD"/>
    <w:rsid w:val="6AA75C6E"/>
    <w:rsid w:val="6BB31049"/>
    <w:rsid w:val="6BF15785"/>
    <w:rsid w:val="6CF430F2"/>
    <w:rsid w:val="6D3C0639"/>
    <w:rsid w:val="6F321DFD"/>
    <w:rsid w:val="6F575DD1"/>
    <w:rsid w:val="70155795"/>
    <w:rsid w:val="702E6762"/>
    <w:rsid w:val="70314EAA"/>
    <w:rsid w:val="706B3AE0"/>
    <w:rsid w:val="71E07B02"/>
    <w:rsid w:val="72C34258"/>
    <w:rsid w:val="73761231"/>
    <w:rsid w:val="73CE218C"/>
    <w:rsid w:val="79DA1D09"/>
    <w:rsid w:val="7A182199"/>
    <w:rsid w:val="7D0F483D"/>
    <w:rsid w:val="7E004848"/>
    <w:rsid w:val="7E37366F"/>
    <w:rsid w:val="7ED65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6">
    <w:name w:val="Default Paragraph Font"/>
    <w:semiHidden/>
    <w:qFormat/>
    <w:uiPriority w:val="0"/>
  </w:style>
  <w:style w:type="table" w:default="1" w:styleId="24">
    <w:name w:val="Normal Table"/>
    <w:semiHidden/>
    <w:qFormat/>
    <w:uiPriority w:val="0"/>
    <w:tblPr>
      <w:tblCellMar>
        <w:top w:w="0" w:type="dxa"/>
        <w:left w:w="108" w:type="dxa"/>
        <w:bottom w:w="0" w:type="dxa"/>
        <w:right w:w="108" w:type="dxa"/>
      </w:tblCellMar>
    </w:tblPr>
  </w:style>
  <w:style w:type="paragraph" w:styleId="3">
    <w:name w:val="Title"/>
    <w:basedOn w:val="4"/>
    <w:next w:val="1"/>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qFormat/>
    <w:uiPriority w:val="1"/>
    <w:pPr>
      <w:ind w:left="596"/>
    </w:pPr>
    <w:rPr>
      <w:rFonts w:ascii="宋体" w:hAnsi="宋体" w:eastAsia="宋体"/>
      <w:sz w:val="24"/>
      <w:szCs w:val="24"/>
    </w:rPr>
  </w:style>
  <w:style w:type="paragraph" w:styleId="13">
    <w:name w:val="Normal Indent"/>
    <w:basedOn w:val="1"/>
    <w:next w:val="1"/>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qFormat/>
    <w:uiPriority w:val="0"/>
    <w:pPr>
      <w:spacing w:before="120"/>
    </w:pPr>
    <w:rPr>
      <w:rFonts w:ascii="Arial" w:hAnsi="Arial"/>
      <w:sz w:val="24"/>
    </w:rPr>
  </w:style>
  <w:style w:type="paragraph" w:styleId="15">
    <w:name w:val="Body Text"/>
    <w:basedOn w:val="1"/>
    <w:next w:val="1"/>
    <w:unhideWhenUsed/>
    <w:qFormat/>
    <w:uiPriority w:val="99"/>
    <w:pPr>
      <w:spacing w:after="120"/>
    </w:pPr>
    <w:rPr>
      <w:sz w:val="28"/>
    </w:rPr>
  </w:style>
  <w:style w:type="paragraph" w:styleId="16">
    <w:name w:val="Body Text Indent"/>
    <w:basedOn w:val="1"/>
    <w:qFormat/>
    <w:uiPriority w:val="99"/>
    <w:pPr>
      <w:spacing w:after="120"/>
      <w:ind w:left="420" w:leftChars="200"/>
    </w:pPr>
  </w:style>
  <w:style w:type="paragraph" w:styleId="17">
    <w:name w:val="Plain Text"/>
    <w:basedOn w:val="1"/>
    <w:next w:val="18"/>
    <w:unhideWhenUsed/>
    <w:qFormat/>
    <w:uiPriority w:val="0"/>
    <w:rPr>
      <w:rFonts w:ascii="宋体" w:hAnsi="Courier New"/>
      <w:szCs w:val="20"/>
    </w:rPr>
  </w:style>
  <w:style w:type="paragraph" w:customStyle="1" w:styleId="1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Normal (Web)"/>
    <w:basedOn w:val="1"/>
    <w:qFormat/>
    <w:uiPriority w:val="0"/>
    <w:rPr>
      <w:sz w:val="24"/>
    </w:rPr>
  </w:style>
  <w:style w:type="paragraph" w:styleId="22">
    <w:name w:val="Body Text First Indent"/>
    <w:basedOn w:val="1"/>
    <w:next w:val="23"/>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3">
    <w:name w:val="Body Text First Indent 2"/>
    <w:basedOn w:val="16"/>
    <w:qFormat/>
    <w:uiPriority w:val="99"/>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qFormat/>
    <w:uiPriority w:val="0"/>
    <w:rPr>
      <w:color w:val="0000FF"/>
      <w:u w:val="single"/>
    </w:rPr>
  </w:style>
  <w:style w:type="paragraph" w:customStyle="1" w:styleId="28">
    <w:name w:val="正文1"/>
    <w:next w:val="1"/>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9">
    <w:name w:val="font11"/>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30">
    <w:name w:val="font61"/>
    <w:basedOn w:val="26"/>
    <w:qFormat/>
    <w:uiPriority w:val="0"/>
    <w:rPr>
      <w:rFonts w:hint="eastAsia" w:ascii="宋体" w:hAnsi="宋体" w:eastAsia="宋体" w:cs="宋体"/>
      <w:color w:val="000000"/>
      <w:sz w:val="22"/>
      <w:szCs w:val="22"/>
      <w:u w:val="none"/>
    </w:rPr>
  </w:style>
  <w:style w:type="character" w:customStyle="1" w:styleId="31">
    <w:name w:val="font112"/>
    <w:basedOn w:val="26"/>
    <w:qFormat/>
    <w:uiPriority w:val="0"/>
    <w:rPr>
      <w:rFonts w:hint="eastAsia" w:ascii="宋体" w:hAnsi="宋体" w:eastAsia="宋体" w:cs="宋体"/>
      <w:color w:val="000000"/>
      <w:sz w:val="24"/>
      <w:szCs w:val="24"/>
      <w:u w:val="none"/>
    </w:rPr>
  </w:style>
  <w:style w:type="character" w:customStyle="1" w:styleId="32">
    <w:name w:val="font21"/>
    <w:basedOn w:val="26"/>
    <w:qFormat/>
    <w:uiPriority w:val="0"/>
    <w:rPr>
      <w:rFonts w:hint="eastAsia" w:ascii="宋体" w:hAnsi="宋体" w:eastAsia="宋体" w:cs="宋体"/>
      <w:color w:val="000000"/>
      <w:sz w:val="24"/>
      <w:szCs w:val="24"/>
      <w:u w:val="none"/>
    </w:rPr>
  </w:style>
  <w:style w:type="character" w:customStyle="1" w:styleId="33">
    <w:name w:val="font121"/>
    <w:basedOn w:val="26"/>
    <w:qFormat/>
    <w:uiPriority w:val="0"/>
    <w:rPr>
      <w:rFonts w:hint="eastAsia" w:ascii="宋体" w:hAnsi="宋体" w:eastAsia="宋体" w:cs="宋体"/>
      <w:color w:val="000000"/>
      <w:sz w:val="24"/>
      <w:szCs w:val="24"/>
      <w:u w:val="single"/>
    </w:rPr>
  </w:style>
  <w:style w:type="character" w:customStyle="1" w:styleId="34">
    <w:name w:val="font101"/>
    <w:basedOn w:val="26"/>
    <w:qFormat/>
    <w:uiPriority w:val="0"/>
    <w:rPr>
      <w:rFonts w:hint="eastAsia" w:ascii="黑体" w:hAnsi="宋体" w:eastAsia="黑体" w:cs="黑体"/>
      <w:color w:val="000000"/>
      <w:sz w:val="24"/>
      <w:szCs w:val="24"/>
      <w:u w:val="none"/>
    </w:rPr>
  </w:style>
  <w:style w:type="character" w:customStyle="1" w:styleId="35">
    <w:name w:val="font12"/>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36">
    <w:name w:val="font111"/>
    <w:basedOn w:val="26"/>
    <w:qFormat/>
    <w:uiPriority w:val="0"/>
    <w:rPr>
      <w:rFonts w:hint="eastAsia" w:ascii="宋体" w:hAnsi="宋体" w:eastAsia="宋体" w:cs="宋体"/>
      <w:color w:val="000000"/>
      <w:sz w:val="24"/>
      <w:szCs w:val="24"/>
      <w:u w:val="single"/>
    </w:rPr>
  </w:style>
  <w:style w:type="character" w:customStyle="1" w:styleId="37">
    <w:name w:val="font91"/>
    <w:basedOn w:val="26"/>
    <w:qFormat/>
    <w:uiPriority w:val="0"/>
    <w:rPr>
      <w:rFonts w:hint="eastAsia" w:ascii="黑体" w:hAnsi="宋体" w:eastAsia="黑体" w:cs="黑体"/>
      <w:color w:val="000000"/>
      <w:sz w:val="24"/>
      <w:szCs w:val="24"/>
      <w:u w:val="none"/>
    </w:rPr>
  </w:style>
  <w:style w:type="character" w:customStyle="1" w:styleId="38">
    <w:name w:val="font81"/>
    <w:basedOn w:val="26"/>
    <w:qFormat/>
    <w:uiPriority w:val="0"/>
    <w:rPr>
      <w:rFonts w:hint="eastAsia" w:ascii="黑体" w:hAnsi="宋体" w:eastAsia="黑体" w:cs="黑体"/>
      <w:color w:val="000000"/>
      <w:sz w:val="24"/>
      <w:szCs w:val="24"/>
      <w:u w:val="none"/>
    </w:rPr>
  </w:style>
  <w:style w:type="character" w:customStyle="1" w:styleId="39">
    <w:name w:val="font51"/>
    <w:basedOn w:val="26"/>
    <w:qFormat/>
    <w:uiPriority w:val="0"/>
    <w:rPr>
      <w:rFonts w:hint="eastAsia" w:ascii="宋体" w:hAnsi="宋体" w:eastAsia="宋体" w:cs="宋体"/>
      <w:color w:val="000000"/>
      <w:sz w:val="28"/>
      <w:szCs w:val="28"/>
      <w:u w:val="none"/>
    </w:rPr>
  </w:style>
  <w:style w:type="character" w:customStyle="1" w:styleId="40">
    <w:name w:val="font141"/>
    <w:basedOn w:val="26"/>
    <w:qFormat/>
    <w:uiPriority w:val="0"/>
    <w:rPr>
      <w:rFonts w:hint="eastAsia" w:ascii="宋体" w:hAnsi="宋体" w:eastAsia="宋体" w:cs="宋体"/>
      <w:color w:val="000000"/>
      <w:sz w:val="28"/>
      <w:szCs w:val="28"/>
      <w:u w:val="single"/>
    </w:rPr>
  </w:style>
  <w:style w:type="character" w:customStyle="1" w:styleId="41">
    <w:name w:val="font131"/>
    <w:basedOn w:val="26"/>
    <w:qFormat/>
    <w:uiPriority w:val="0"/>
    <w:rPr>
      <w:rFonts w:hint="eastAsia" w:ascii="黑体" w:hAnsi="宋体" w:eastAsia="黑体" w:cs="黑体"/>
      <w:color w:val="000000"/>
      <w:sz w:val="24"/>
      <w:szCs w:val="24"/>
      <w:u w:val="none"/>
    </w:rPr>
  </w:style>
  <w:style w:type="character" w:customStyle="1" w:styleId="42">
    <w:name w:val="font71"/>
    <w:basedOn w:val="26"/>
    <w:qFormat/>
    <w:uiPriority w:val="0"/>
    <w:rPr>
      <w:rFonts w:hint="eastAsia" w:ascii="黑体" w:hAnsi="宋体" w:eastAsia="黑体" w:cs="黑体"/>
      <w:color w:val="FF0000"/>
      <w:sz w:val="24"/>
      <w:szCs w:val="24"/>
      <w:u w:val="none"/>
    </w:rPr>
  </w:style>
  <w:style w:type="paragraph" w:customStyle="1" w:styleId="43">
    <w:name w:val="列表段落1"/>
    <w:basedOn w:val="1"/>
    <w:qFormat/>
    <w:uiPriority w:val="0"/>
    <w:pPr>
      <w:widowControl/>
      <w:adjustRightInd w:val="0"/>
      <w:snapToGrid w:val="0"/>
      <w:spacing w:after="200"/>
      <w:ind w:firstLine="420"/>
      <w:jc w:val="left"/>
    </w:pPr>
    <w:rPr>
      <w:rFonts w:ascii="Tahoma" w:hAnsi="Tahoma" w:eastAsia="微软雅黑"/>
      <w:kern w:val="0"/>
      <w:sz w:val="22"/>
      <w:szCs w:val="22"/>
    </w:rPr>
  </w:style>
  <w:style w:type="character" w:customStyle="1" w:styleId="44">
    <w:name w:val="font14"/>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5">
    <w:name w:val="font151"/>
    <w:basedOn w:val="26"/>
    <w:qFormat/>
    <w:uiPriority w:val="0"/>
    <w:rPr>
      <w:rFonts w:hint="eastAsia" w:ascii="宋体" w:hAnsi="宋体" w:eastAsia="宋体" w:cs="宋体"/>
      <w:color w:val="000000"/>
      <w:sz w:val="22"/>
      <w:szCs w:val="22"/>
      <w:u w:val="single"/>
    </w:rPr>
  </w:style>
  <w:style w:type="character" w:customStyle="1" w:styleId="46">
    <w:name w:val="font31"/>
    <w:basedOn w:val="26"/>
    <w:qFormat/>
    <w:uiPriority w:val="0"/>
    <w:rPr>
      <w:rFonts w:hint="eastAsia" w:ascii="宋体" w:hAnsi="宋体" w:eastAsia="宋体" w:cs="宋体"/>
      <w:color w:val="FF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811</Words>
  <Characters>822</Characters>
  <Lines>0</Lines>
  <Paragraphs>0</Paragraphs>
  <TotalTime>11</TotalTime>
  <ScaleCrop>false</ScaleCrop>
  <LinksUpToDate>false</LinksUpToDate>
  <CharactersWithSpaces>1178</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Administrator</cp:lastModifiedBy>
  <cp:lastPrinted>2023-11-07T01:59:00Z</cp:lastPrinted>
  <dcterms:modified xsi:type="dcterms:W3CDTF">2024-12-16T03:25:42Z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3CC410D33C324DECBD284A536FE027F3_13</vt:lpwstr>
  </property>
</Properties>
</file>